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6D9DFEF0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C57FA">
        <w:rPr>
          <w:b/>
          <w:color w:val="000000" w:themeColor="text1"/>
          <w:lang w:val="uk-UA"/>
        </w:rPr>
        <w:t xml:space="preserve">головного спеціаліста відділу </w:t>
      </w:r>
      <w:r w:rsidR="00701AE1">
        <w:rPr>
          <w:b/>
          <w:color w:val="000000" w:themeColor="text1"/>
          <w:lang w:val="uk-UA"/>
        </w:rPr>
        <w:t>управління персоналом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3526" w14:textId="72F49309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Аналіз кількісного та якісного складу персоналу в апараті суду, вивчення поточної потреби в такому персоналі, прогнозування перспективної потреби в персоналі.</w:t>
            </w:r>
          </w:p>
          <w:p w14:paraId="5832FE7F" w14:textId="77777777" w:rsidR="00805D6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Підготовка матеріалів для проведення конкурсного відбору на посади державних службовців апарату суду. Підготовка документів, необхідних для призначення на посаду.</w:t>
            </w:r>
          </w:p>
          <w:p w14:paraId="533587D2" w14:textId="77777777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Розміщення у встановленому порядку на Єдиному порталі вакансій державної служби наказів (розпоряджень) керівника апарату суду про оголошення конкурсу на зайняття посад категорій "Б" і "В" та умов його проведення, інформації про переможця (переможців) конкурсу або їх відсутність.</w:t>
            </w:r>
          </w:p>
          <w:p w14:paraId="63E2A922" w14:textId="77777777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Розгляд інформації, поданої кандидатами для участі у конкурсі на зайняття посад державної служби категорії "Б" і "В" у апараті суду, повідомлення кандидатів про результати розгляду поданої ними інформації для участі у конкурсі, результати розв’язання ситуаційних завдань, проведення співбесіди, допущення (недопущення) до наступного етапу конкурсу. Здійснення інших заходів щодо організації конкурсного відбору відповідно до вимог законодавства.</w:t>
            </w:r>
          </w:p>
          <w:p w14:paraId="779D4BEC" w14:textId="77777777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Проведення спеціальної перевірки щодо осіб, які претендують на зайняття посад в апараті суду та перевірки достовірності відомостей щодо застосування заборон, передбачених </w:t>
            </w:r>
            <w:hyperlink r:id="rId5" w:anchor="n13" w:tgtFrame="_blank" w:history="1">
              <w:r w:rsidRPr="001744F8">
                <w:rPr>
                  <w:sz w:val="22"/>
                  <w:szCs w:val="22"/>
                  <w:lang w:val="uk-UA"/>
                </w:rPr>
                <w:t>частинами третьою</w:t>
              </w:r>
            </w:hyperlink>
            <w:r w:rsidRPr="001744F8">
              <w:rPr>
                <w:sz w:val="22"/>
                <w:szCs w:val="22"/>
                <w:lang w:val="uk-UA"/>
              </w:rPr>
              <w:t xml:space="preserve"> і </w:t>
            </w:r>
            <w:hyperlink r:id="rId6" w:anchor="n14" w:tgtFrame="_blank" w:history="1">
              <w:r w:rsidRPr="001744F8">
                <w:rPr>
                  <w:sz w:val="22"/>
                  <w:szCs w:val="22"/>
                  <w:lang w:val="uk-UA"/>
                </w:rPr>
                <w:t>четвертою</w:t>
              </w:r>
            </w:hyperlink>
            <w:r w:rsidRPr="001744F8">
              <w:rPr>
                <w:sz w:val="22"/>
                <w:szCs w:val="22"/>
                <w:lang w:val="uk-UA"/>
              </w:rPr>
              <w:t xml:space="preserve"> статті 1 Закону України «Про очищення влади».</w:t>
            </w:r>
          </w:p>
          <w:p w14:paraId="4075EABF" w14:textId="77777777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pacing w:val="6"/>
                <w:sz w:val="22"/>
                <w:szCs w:val="22"/>
                <w:lang w:val="uk-UA"/>
              </w:rPr>
              <w:t xml:space="preserve">Підготовка документів, проектів розпоряджень і проектів наказів про призначення на посади, </w:t>
            </w:r>
            <w:r w:rsidRPr="001744F8">
              <w:rPr>
                <w:spacing w:val="3"/>
                <w:sz w:val="22"/>
                <w:szCs w:val="22"/>
                <w:lang w:val="uk-UA"/>
              </w:rPr>
              <w:t xml:space="preserve">переведення на інші посади, звільнення з посад суддів та працівників апарату суду та </w:t>
            </w:r>
            <w:r w:rsidRPr="001744F8">
              <w:rPr>
                <w:spacing w:val="-1"/>
                <w:sz w:val="22"/>
                <w:szCs w:val="22"/>
                <w:lang w:val="uk-UA"/>
              </w:rPr>
              <w:t>їх реєстрація.</w:t>
            </w:r>
          </w:p>
          <w:p w14:paraId="41C5F9F0" w14:textId="5C373E7C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Виконання роботи, пов’язаної з обліком трудової діяльності, заповненням, обліком і зберіганням особових справ (особових карток) та трудових книжок працівників суду.</w:t>
            </w:r>
          </w:p>
          <w:p w14:paraId="4E6503B9" w14:textId="46FA73CB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Внесення до автоматизованої системи документообігу суду достовірних даних у межах наданих повноважень, відповідно до вимог Положення про автоматизовану систему документообігу суду, забезпечення конфіденційності інформації, яка в ній міститься.</w:t>
            </w:r>
          </w:p>
          <w:p w14:paraId="56BACB76" w14:textId="77777777" w:rsidR="001744F8" w:rsidRPr="001744F8" w:rsidRDefault="001744F8" w:rsidP="001744F8">
            <w:pPr>
              <w:pStyle w:val="a5"/>
              <w:widowControl w:val="0"/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Ведення системи «Кадри - WEB» і модулю «Управління персоналом, фінансовим та бухгалтерським обліком» Єдиної судової інформаційно-телекомунікаційної системи.</w:t>
            </w:r>
          </w:p>
          <w:p w14:paraId="0D09DCAE" w14:textId="77777777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Здійснення обліку військовозобов’язаних і призовників та бронювання військовозобов’язаних в суді.</w:t>
            </w:r>
          </w:p>
          <w:p w14:paraId="615DB3E4" w14:textId="2EE26E57" w:rsidR="001744F8" w:rsidRPr="001744F8" w:rsidRDefault="001744F8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Виконання інших доручень начальника відділу </w:t>
            </w:r>
            <w:r w:rsidRPr="001744F8">
              <w:rPr>
                <w:spacing w:val="1"/>
                <w:sz w:val="22"/>
                <w:szCs w:val="22"/>
                <w:lang w:val="uk-UA"/>
              </w:rPr>
              <w:t xml:space="preserve">управління персоналом </w:t>
            </w:r>
            <w:r w:rsidRPr="001744F8">
              <w:rPr>
                <w:sz w:val="22"/>
                <w:szCs w:val="22"/>
                <w:lang w:val="uk-UA"/>
              </w:rPr>
              <w:t>суду, що відносяться до компетенції відділу.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1E3CCB1C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1744F8" w:rsidRPr="001744F8">
              <w:rPr>
                <w:sz w:val="22"/>
                <w:szCs w:val="22"/>
                <w:lang w:val="uk-UA" w:eastAsia="en-US"/>
              </w:rPr>
              <w:t>7030,00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30DFCE68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lastRenderedPageBreak/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Прізвище, ім'я та по батькові, номер телефону осіб, які надають додаткову 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805D68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3F0627DD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98792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3"/>
  </w:num>
  <w:num w:numId="3" w16cid:durableId="145570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462453">
    <w:abstractNumId w:val="1"/>
  </w:num>
  <w:num w:numId="5" w16cid:durableId="31530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744F8"/>
    <w:rsid w:val="00414641"/>
    <w:rsid w:val="006E391A"/>
    <w:rsid w:val="00701AE1"/>
    <w:rsid w:val="00717E14"/>
    <w:rsid w:val="00805D68"/>
    <w:rsid w:val="00830A3F"/>
    <w:rsid w:val="00942B0A"/>
    <w:rsid w:val="0095558A"/>
    <w:rsid w:val="00C80EDD"/>
    <w:rsid w:val="00CF7410"/>
    <w:rsid w:val="00D96744"/>
    <w:rsid w:val="00E215ED"/>
    <w:rsid w:val="00E31CC5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14</cp:revision>
  <dcterms:created xsi:type="dcterms:W3CDTF">2022-01-06T08:33:00Z</dcterms:created>
  <dcterms:modified xsi:type="dcterms:W3CDTF">2023-01-20T08:07:00Z</dcterms:modified>
</cp:coreProperties>
</file>