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4D0F1114"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 секретаря судового засідання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6E391A" w14:paraId="62CB1568"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6E391A" w:rsidRPr="002766AE" w:rsidRDefault="006E391A" w:rsidP="00B55C21">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hideMark/>
          </w:tcPr>
          <w:p w14:paraId="1082923F"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7C312225"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03F7EC8B"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593A30CA"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ведення протоколу судового засідання.</w:t>
            </w:r>
          </w:p>
          <w:p w14:paraId="286E9A3D"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361FDC5E"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7F55E38D"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1D079D86"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4832D68D" w14:textId="77777777" w:rsidR="006E391A" w:rsidRPr="002766AE" w:rsidRDefault="006E391A" w:rsidP="006E391A">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Оформлення виконавчих листів у справах, рішення в яких підлягають негайному виконанню.</w:t>
            </w:r>
          </w:p>
          <w:p w14:paraId="615DB3E4" w14:textId="77777777" w:rsidR="006E391A" w:rsidRPr="002766AE" w:rsidRDefault="006E391A" w:rsidP="006E391A">
            <w:pPr>
              <w:pStyle w:val="a4"/>
              <w:numPr>
                <w:ilvl w:val="0"/>
                <w:numId w:val="1"/>
              </w:numPr>
              <w:tabs>
                <w:tab w:val="left" w:pos="131"/>
                <w:tab w:val="left" w:pos="272"/>
                <w:tab w:val="left" w:pos="326"/>
              </w:tabs>
              <w:spacing w:line="252" w:lineRule="auto"/>
              <w:ind w:left="-11" w:right="0" w:firstLine="0"/>
              <w:jc w:val="both"/>
              <w:rPr>
                <w:sz w:val="22"/>
                <w:szCs w:val="22"/>
                <w:lang w:val="ru-RU"/>
              </w:rPr>
            </w:pPr>
            <w:r w:rsidRPr="002766AE">
              <w:rPr>
                <w:sz w:val="22"/>
                <w:szCs w:val="22"/>
              </w:rPr>
              <w:t>Виконання інших доручень головуючого у справі, керівника апарату суду.</w:t>
            </w:r>
          </w:p>
        </w:tc>
      </w:tr>
      <w:tr w:rsidR="006E391A"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6E391A" w:rsidRPr="002766AE" w:rsidRDefault="006E391A" w:rsidP="00B55C21">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60233657" w:rsidR="006E391A" w:rsidRPr="002766AE" w:rsidRDefault="006E391A" w:rsidP="00B55C21">
            <w:pPr>
              <w:spacing w:line="252" w:lineRule="auto"/>
              <w:textAlignment w:val="baseline"/>
              <w:rPr>
                <w:color w:val="000000" w:themeColor="text1"/>
                <w:sz w:val="22"/>
                <w:szCs w:val="22"/>
                <w:lang w:val="uk-UA" w:eastAsia="en-US"/>
              </w:rPr>
            </w:pPr>
            <w:r w:rsidRPr="002766AE">
              <w:rPr>
                <w:sz w:val="22"/>
                <w:szCs w:val="22"/>
                <w:lang w:val="uk-UA" w:eastAsia="en-US"/>
              </w:rPr>
              <w:t xml:space="preserve">посадовий оклад – </w:t>
            </w:r>
            <w:r w:rsidR="002766AE" w:rsidRPr="002766AE">
              <w:rPr>
                <w:sz w:val="22"/>
                <w:szCs w:val="22"/>
                <w:lang w:val="uk-UA" w:eastAsia="en-US"/>
              </w:rPr>
              <w:t>6500</w:t>
            </w:r>
            <w:r w:rsidRPr="002766AE">
              <w:rPr>
                <w:color w:val="FF0000"/>
                <w:sz w:val="22"/>
                <w:szCs w:val="22"/>
                <w:lang w:val="uk-UA" w:eastAsia="en-US"/>
              </w:rPr>
              <w:t xml:space="preserve"> </w:t>
            </w:r>
            <w:r w:rsidRPr="002766AE">
              <w:rPr>
                <w:sz w:val="22"/>
                <w:szCs w:val="22"/>
                <w:lang w:val="uk-UA" w:eastAsia="en-US"/>
              </w:rPr>
              <w:t>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6E391A"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6E391A" w:rsidRPr="002766AE" w:rsidRDefault="006E391A" w:rsidP="00B55C21">
            <w:pPr>
              <w:spacing w:line="252" w:lineRule="auto"/>
              <w:textAlignment w:val="baseline"/>
              <w:rPr>
                <w:sz w:val="22"/>
                <w:szCs w:val="22"/>
                <w:lang w:val="uk-UA" w:eastAsia="en-US"/>
              </w:rPr>
            </w:pPr>
            <w:r w:rsidRPr="002766AE">
              <w:rPr>
                <w:sz w:val="22"/>
                <w:szCs w:val="22"/>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77AA2B86" w:rsidR="006E391A" w:rsidRPr="002766AE" w:rsidRDefault="002E523B" w:rsidP="00E31CC5">
            <w:pPr>
              <w:spacing w:line="256" w:lineRule="auto"/>
              <w:jc w:val="both"/>
              <w:textAlignment w:val="baseline"/>
              <w:rPr>
                <w:sz w:val="22"/>
                <w:szCs w:val="22"/>
                <w:lang w:val="uk-UA"/>
              </w:rPr>
            </w:pPr>
            <w:r w:rsidRPr="002766AE">
              <w:rPr>
                <w:sz w:val="22"/>
                <w:szCs w:val="22"/>
                <w:lang w:val="uk-UA" w:eastAsia="en-US"/>
              </w:rPr>
              <w:t>Строкове</w:t>
            </w:r>
            <w:r w:rsidRPr="002766AE">
              <w:rPr>
                <w:sz w:val="22"/>
                <w:szCs w:val="22"/>
                <w:lang w:val="uk-UA"/>
              </w:rPr>
              <w:t xml:space="preserve"> (</w:t>
            </w:r>
            <w:r w:rsidRPr="002766AE">
              <w:rPr>
                <w:sz w:val="22"/>
                <w:szCs w:val="22"/>
                <w:lang w:val="uk-UA" w:eastAsia="en-US"/>
              </w:rPr>
              <w:t xml:space="preserve">на період </w:t>
            </w:r>
            <w:r w:rsidRPr="002766AE">
              <w:rPr>
                <w:color w:val="000000" w:themeColor="text1"/>
                <w:sz w:val="22"/>
                <w:szCs w:val="22"/>
                <w:lang w:val="uk-UA"/>
              </w:rPr>
              <w:t>дії воєнного стану</w:t>
            </w:r>
            <w:r w:rsidRPr="002766AE">
              <w:rPr>
                <w:sz w:val="22"/>
                <w:szCs w:val="22"/>
                <w:lang w:val="uk-UA"/>
              </w:rPr>
              <w:t xml:space="preserve">), але не довше ніж </w:t>
            </w:r>
            <w:r w:rsidRPr="002766AE">
              <w:rPr>
                <w:sz w:val="22"/>
                <w:szCs w:val="22"/>
                <w:lang w:val="uk-UA" w:eastAsia="en-US"/>
              </w:rPr>
              <w:t>на період відсутності основного працівника, який знаходиться у відпустці по догляду за дитиною до досягнення нею шестирічного віку</w:t>
            </w:r>
            <w:r w:rsidRPr="002766AE">
              <w:rPr>
                <w:sz w:val="22"/>
                <w:szCs w:val="22"/>
                <w:lang w:val="uk-UA"/>
              </w:rPr>
              <w:t>.</w:t>
            </w:r>
          </w:p>
        </w:tc>
      </w:tr>
      <w:tr w:rsidR="006E391A"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6E391A" w:rsidRPr="002766AE" w:rsidRDefault="006E391A" w:rsidP="00B55C21">
            <w:pPr>
              <w:spacing w:line="252" w:lineRule="auto"/>
              <w:textAlignment w:val="baseline"/>
              <w:rPr>
                <w:sz w:val="22"/>
                <w:szCs w:val="22"/>
                <w:lang w:val="uk-UA" w:eastAsia="en-US"/>
              </w:rPr>
            </w:pPr>
            <w:r w:rsidRPr="002766AE">
              <w:rPr>
                <w:color w:val="000000"/>
                <w:sz w:val="22"/>
                <w:szCs w:val="22"/>
                <w:lang w:val="uk-UA"/>
              </w:rPr>
              <w:t xml:space="preserve">Перелік інформації, необхідної для </w:t>
            </w:r>
            <w:r w:rsidR="00CF7410" w:rsidRPr="002766AE">
              <w:rPr>
                <w:color w:val="000000"/>
                <w:sz w:val="22"/>
                <w:szCs w:val="22"/>
                <w:lang w:val="uk-UA"/>
              </w:rPr>
              <w:t>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6E391A" w:rsidRPr="002766AE" w:rsidRDefault="006E391A" w:rsidP="00E31CC5">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1) заяв</w:t>
            </w:r>
            <w:r w:rsidR="00E31CC5" w:rsidRPr="002766AE">
              <w:rPr>
                <w:sz w:val="22"/>
                <w:szCs w:val="22"/>
                <w:lang w:val="uk-UA"/>
              </w:rPr>
              <w:t>а</w:t>
            </w:r>
            <w:r w:rsidRPr="002766AE">
              <w:rPr>
                <w:sz w:val="22"/>
                <w:szCs w:val="22"/>
                <w:lang w:val="uk-UA"/>
              </w:rPr>
              <w:t xml:space="preserve"> із зазначенням основних мотивів щодо зайняття посади за формою згідно з додатком 2</w:t>
            </w:r>
            <w:r w:rsidRPr="002766AE">
              <w:rPr>
                <w:sz w:val="22"/>
                <w:szCs w:val="22"/>
                <w:shd w:val="clear" w:color="auto" w:fill="FFFFFF"/>
                <w:lang w:val="uk-UA"/>
              </w:rPr>
              <w:t xml:space="preserve"> до Порядку (в редакції постанови Кабінету Міністрів України від 12 лютого 2020 р. № 98</w:t>
            </w:r>
            <w:r w:rsidRPr="002766AE">
              <w:rPr>
                <w:sz w:val="22"/>
                <w:szCs w:val="22"/>
                <w:lang w:val="uk-UA"/>
              </w:rPr>
              <w:t>);</w:t>
            </w:r>
          </w:p>
          <w:p w14:paraId="34FF0ADA" w14:textId="67C75483" w:rsidR="006E391A" w:rsidRPr="002766AE" w:rsidRDefault="006E391A" w:rsidP="00E31CC5">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 xml:space="preserve">2) </w:t>
            </w:r>
            <w:r w:rsidR="00E31CC5" w:rsidRPr="002766AE">
              <w:rPr>
                <w:color w:val="000000" w:themeColor="text1"/>
                <w:sz w:val="22"/>
                <w:szCs w:val="22"/>
                <w:lang w:val="uk-UA"/>
              </w:rPr>
              <w:t>заповнена особова картка встановленого зразка;</w:t>
            </w:r>
          </w:p>
          <w:p w14:paraId="2E48DD12" w14:textId="41003085" w:rsidR="006E391A" w:rsidRPr="002766AE" w:rsidRDefault="006E391A" w:rsidP="00E31CC5">
            <w:pPr>
              <w:pStyle w:val="rvps2"/>
              <w:shd w:val="clear" w:color="auto" w:fill="FFFFFF"/>
              <w:spacing w:before="0" w:beforeAutospacing="0" w:after="0" w:afterAutospacing="0" w:line="252" w:lineRule="auto"/>
              <w:jc w:val="both"/>
              <w:rPr>
                <w:sz w:val="22"/>
                <w:szCs w:val="22"/>
                <w:lang w:val="uk-UA"/>
              </w:rPr>
            </w:pPr>
            <w:r w:rsidRPr="002766AE">
              <w:rPr>
                <w:sz w:val="22"/>
                <w:szCs w:val="22"/>
                <w:lang w:val="uk-UA"/>
              </w:rPr>
              <w:t xml:space="preserve">3) </w:t>
            </w:r>
            <w:r w:rsidR="00CF7410" w:rsidRPr="002766AE">
              <w:rPr>
                <w:color w:val="000000" w:themeColor="text1"/>
                <w:sz w:val="22"/>
                <w:szCs w:val="22"/>
                <w:lang w:val="uk-UA"/>
              </w:rPr>
              <w:t>документи, що підтверджують наявність громадянства України та відповідної освіти.</w:t>
            </w:r>
          </w:p>
        </w:tc>
      </w:tr>
      <w:tr w:rsidR="006E391A"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6E391A" w:rsidRPr="002766AE" w:rsidRDefault="006E391A" w:rsidP="00B55C21">
            <w:pPr>
              <w:spacing w:line="252" w:lineRule="auto"/>
              <w:textAlignment w:val="baseline"/>
              <w:rPr>
                <w:sz w:val="22"/>
                <w:szCs w:val="22"/>
                <w:lang w:val="uk-UA" w:eastAsia="en-US"/>
              </w:rPr>
            </w:pPr>
            <w:r w:rsidRPr="002766AE">
              <w:rPr>
                <w:sz w:val="22"/>
                <w:szCs w:val="22"/>
                <w:lang w:val="uk-UA" w:eastAsia="en-US"/>
              </w:rPr>
              <w:lastRenderedPageBreak/>
              <w:t>Прізвище, ім'я та по батькові, номер телефону ос</w:t>
            </w:r>
            <w:r w:rsidR="00CF7410" w:rsidRPr="002766AE">
              <w:rPr>
                <w:sz w:val="22"/>
                <w:szCs w:val="22"/>
                <w:lang w:val="uk-UA" w:eastAsia="en-US"/>
              </w:rPr>
              <w:t>і</w:t>
            </w:r>
            <w:r w:rsidRPr="002766AE">
              <w:rPr>
                <w:sz w:val="22"/>
                <w:szCs w:val="22"/>
                <w:lang w:val="uk-UA" w:eastAsia="en-US"/>
              </w:rPr>
              <w:t>б, як</w:t>
            </w:r>
            <w:r w:rsidR="00CF7410" w:rsidRPr="002766AE">
              <w:rPr>
                <w:sz w:val="22"/>
                <w:szCs w:val="22"/>
                <w:lang w:val="uk-UA" w:eastAsia="en-US"/>
              </w:rPr>
              <w:t>і</w:t>
            </w:r>
            <w:r w:rsidRPr="002766AE">
              <w:rPr>
                <w:sz w:val="22"/>
                <w:szCs w:val="22"/>
                <w:lang w:val="uk-UA" w:eastAsia="en-US"/>
              </w:rPr>
              <w:t xml:space="preserve"> нада</w:t>
            </w:r>
            <w:r w:rsidR="00CF7410" w:rsidRPr="002766AE">
              <w:rPr>
                <w:sz w:val="22"/>
                <w:szCs w:val="22"/>
                <w:lang w:val="uk-UA" w:eastAsia="en-US"/>
              </w:rPr>
              <w:t>ють</w:t>
            </w:r>
            <w:r w:rsidRPr="002766AE">
              <w:rPr>
                <w:sz w:val="22"/>
                <w:szCs w:val="22"/>
                <w:lang w:val="uk-UA" w:eastAsia="en-US"/>
              </w:rPr>
              <w:t xml:space="preserve"> додаткову інформацію з питань </w:t>
            </w:r>
            <w:r w:rsidR="00CF7410" w:rsidRPr="002766AE">
              <w:rPr>
                <w:sz w:val="22"/>
                <w:szCs w:val="22"/>
                <w:lang w:val="uk-UA" w:eastAsia="en-US"/>
              </w:rPr>
              <w:t>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237E127D" w:rsidR="00CF7410" w:rsidRPr="002766AE" w:rsidRDefault="00CF7410" w:rsidP="00B55C21">
            <w:pPr>
              <w:spacing w:line="360" w:lineRule="auto"/>
              <w:textAlignment w:val="baseline"/>
              <w:rPr>
                <w:b/>
                <w:sz w:val="22"/>
                <w:szCs w:val="22"/>
                <w:lang w:val="uk-UA" w:eastAsia="en-US"/>
              </w:rPr>
            </w:pPr>
            <w:r w:rsidRPr="002766AE">
              <w:rPr>
                <w:b/>
                <w:sz w:val="22"/>
                <w:szCs w:val="22"/>
                <w:lang w:val="uk-UA" w:eastAsia="en-US"/>
              </w:rPr>
              <w:t>Микитин Тетяна Віталіївна</w:t>
            </w:r>
          </w:p>
          <w:p w14:paraId="73E38D63" w14:textId="281B2D4D" w:rsidR="006E391A" w:rsidRPr="002766AE" w:rsidRDefault="006E391A" w:rsidP="00B55C21">
            <w:pPr>
              <w:spacing w:line="360" w:lineRule="auto"/>
              <w:textAlignment w:val="baseline"/>
              <w:rPr>
                <w:b/>
                <w:sz w:val="22"/>
                <w:szCs w:val="22"/>
                <w:lang w:val="uk-UA" w:eastAsia="en-US"/>
              </w:rPr>
            </w:pPr>
            <w:r w:rsidRPr="002766AE">
              <w:rPr>
                <w:b/>
                <w:sz w:val="22"/>
                <w:szCs w:val="22"/>
                <w:lang w:val="uk-UA" w:eastAsia="en-US"/>
              </w:rPr>
              <w:t>Латарія Максим Юрійович</w:t>
            </w:r>
            <w:r w:rsidR="002766AE">
              <w:rPr>
                <w:b/>
                <w:sz w:val="22"/>
                <w:szCs w:val="22"/>
                <w:lang w:val="uk-UA" w:eastAsia="en-US"/>
              </w:rPr>
              <w:t xml:space="preserve">  </w:t>
            </w:r>
            <w:r w:rsidR="002766AE" w:rsidRPr="002766AE">
              <w:rPr>
                <w:bCs/>
                <w:sz w:val="22"/>
                <w:szCs w:val="22"/>
                <w:lang w:val="uk-UA" w:eastAsia="en-US"/>
              </w:rPr>
              <w:t>(068-107-20-91)</w:t>
            </w:r>
          </w:p>
          <w:p w14:paraId="41608461" w14:textId="36980B52" w:rsidR="006E391A" w:rsidRPr="002766AE" w:rsidRDefault="006E391A" w:rsidP="00CF7410">
            <w:pPr>
              <w:spacing w:line="360" w:lineRule="auto"/>
              <w:textAlignment w:val="baseline"/>
              <w:rPr>
                <w:sz w:val="22"/>
                <w:szCs w:val="22"/>
                <w:lang w:val="uk-UA" w:eastAsia="en-US"/>
              </w:rPr>
            </w:pPr>
            <w:r w:rsidRPr="002766AE">
              <w:rPr>
                <w:sz w:val="22"/>
                <w:szCs w:val="22"/>
                <w:lang w:val="uk-UA" w:eastAsia="en-US"/>
              </w:rPr>
              <w:t>тел. (0462) 665-500</w:t>
            </w:r>
          </w:p>
        </w:tc>
      </w:tr>
      <w:tr w:rsidR="006E391A"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6E391A" w:rsidRPr="002766AE" w:rsidRDefault="00CF7410" w:rsidP="00B55C21">
            <w:pPr>
              <w:spacing w:before="80" w:after="80" w:line="252" w:lineRule="auto"/>
              <w:jc w:val="center"/>
              <w:textAlignment w:val="baseline"/>
              <w:rPr>
                <w:sz w:val="22"/>
                <w:szCs w:val="22"/>
                <w:lang w:val="uk-UA" w:eastAsia="en-US"/>
              </w:rPr>
            </w:pPr>
            <w:r w:rsidRPr="002766AE">
              <w:rPr>
                <w:sz w:val="22"/>
                <w:szCs w:val="22"/>
                <w:lang w:val="uk-UA" w:eastAsia="en-US"/>
              </w:rPr>
              <w:t>Вимоги до освіти та досвіду роботи</w:t>
            </w:r>
          </w:p>
        </w:tc>
      </w:tr>
      <w:tr w:rsidR="006E391A"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6E391A" w:rsidRPr="002766AE" w:rsidRDefault="006E391A" w:rsidP="00B55C21">
            <w:pPr>
              <w:spacing w:line="252" w:lineRule="auto"/>
              <w:textAlignment w:val="baseline"/>
              <w:rPr>
                <w:color w:val="000000"/>
                <w:sz w:val="22"/>
                <w:szCs w:val="22"/>
                <w:lang w:val="uk-UA" w:eastAsia="en-US"/>
              </w:rPr>
            </w:pPr>
            <w:r w:rsidRPr="002766AE">
              <w:rPr>
                <w:color w:val="000000"/>
                <w:sz w:val="22"/>
                <w:szCs w:val="22"/>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77777777" w:rsidR="006E391A" w:rsidRPr="002766AE" w:rsidRDefault="006E391A" w:rsidP="00B55C21">
            <w:pPr>
              <w:spacing w:line="252" w:lineRule="auto"/>
              <w:textAlignment w:val="baseline"/>
              <w:rPr>
                <w:color w:val="FF0000"/>
                <w:sz w:val="22"/>
                <w:szCs w:val="22"/>
                <w:lang w:val="uk-UA" w:eastAsia="en-US"/>
              </w:rPr>
            </w:pPr>
            <w:r w:rsidRPr="002766AE">
              <w:rPr>
                <w:bCs/>
                <w:sz w:val="22"/>
                <w:szCs w:val="22"/>
                <w:lang w:val="uk-UA" w:eastAsia="en-US"/>
              </w:rPr>
              <w:t>вища, не нижче ступеня молодшого бакалавра або бакалавра, бажано</w:t>
            </w:r>
            <w:r w:rsidRPr="002766AE">
              <w:rPr>
                <w:sz w:val="22"/>
                <w:szCs w:val="22"/>
              </w:rPr>
              <w:t xml:space="preserve"> в </w:t>
            </w:r>
            <w:r w:rsidRPr="002766AE">
              <w:rPr>
                <w:sz w:val="22"/>
                <w:szCs w:val="22"/>
                <w:lang w:val="uk-UA"/>
              </w:rPr>
              <w:t>галузі знань</w:t>
            </w:r>
            <w:r w:rsidRPr="002766AE">
              <w:rPr>
                <w:sz w:val="22"/>
                <w:szCs w:val="22"/>
              </w:rPr>
              <w:t xml:space="preserve"> «Право»</w:t>
            </w:r>
          </w:p>
        </w:tc>
      </w:tr>
      <w:tr w:rsidR="006E391A"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6E391A" w:rsidRPr="002766AE" w:rsidRDefault="006E391A" w:rsidP="00B55C21">
            <w:pPr>
              <w:spacing w:line="252" w:lineRule="auto"/>
              <w:textAlignment w:val="baseline"/>
              <w:rPr>
                <w:color w:val="000000"/>
                <w:sz w:val="22"/>
                <w:szCs w:val="22"/>
                <w:lang w:val="uk-UA" w:eastAsia="en-US"/>
              </w:rPr>
            </w:pPr>
            <w:r w:rsidRPr="002766AE">
              <w:rPr>
                <w:rStyle w:val="FontStyle15"/>
                <w:sz w:val="22"/>
                <w:szCs w:val="22"/>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6E391A" w:rsidRPr="002766AE" w:rsidRDefault="006E391A" w:rsidP="00B55C21">
            <w:pPr>
              <w:spacing w:line="252" w:lineRule="auto"/>
              <w:textAlignment w:val="baseline"/>
              <w:rPr>
                <w:rStyle w:val="FontStyle15"/>
                <w:color w:val="FF0000"/>
                <w:sz w:val="22"/>
                <w:szCs w:val="22"/>
                <w:lang w:eastAsia="uk-UA"/>
              </w:rPr>
            </w:pPr>
            <w:r w:rsidRPr="002766AE">
              <w:rPr>
                <w:sz w:val="22"/>
                <w:szCs w:val="22"/>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1328E3"/>
    <w:rsid w:val="002766AE"/>
    <w:rsid w:val="002E523B"/>
    <w:rsid w:val="00414641"/>
    <w:rsid w:val="006E391A"/>
    <w:rsid w:val="00717E14"/>
    <w:rsid w:val="00830A3F"/>
    <w:rsid w:val="00942B0A"/>
    <w:rsid w:val="0095558A"/>
    <w:rsid w:val="00C80EDD"/>
    <w:rsid w:val="00CF7410"/>
    <w:rsid w:val="00D96744"/>
    <w:rsid w:val="00E31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2136</Words>
  <Characters>1219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12</cp:revision>
  <dcterms:created xsi:type="dcterms:W3CDTF">2022-01-06T08:33:00Z</dcterms:created>
  <dcterms:modified xsi:type="dcterms:W3CDTF">2023-02-01T09:53:00Z</dcterms:modified>
</cp:coreProperties>
</file>